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A0770B">
        <w:rPr>
          <w:rFonts w:ascii="Times New Roman" w:eastAsia="Times New Roman" w:hAnsi="Times New Roman" w:cs="Times New Roman"/>
          <w:b/>
          <w:color w:val="000000" w:themeColor="text1"/>
          <w:sz w:val="24"/>
          <w:szCs w:val="24"/>
          <w:u w:val="single"/>
          <w:lang w:eastAsia="ru-RU"/>
        </w:rPr>
        <w:t>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5007D1">
        <w:rPr>
          <w:rFonts w:ascii="Times New Roman" w:eastAsia="Times New Roman" w:hAnsi="Times New Roman" w:cs="Times New Roman"/>
          <w:b/>
          <w:color w:val="000000" w:themeColor="text1"/>
          <w:sz w:val="24"/>
          <w:szCs w:val="24"/>
          <w:u w:val="single"/>
          <w:lang w:eastAsia="ru-RU"/>
        </w:rPr>
        <w:t>03</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w:t>
      </w:r>
      <w:r w:rsidR="005007D1">
        <w:rPr>
          <w:rFonts w:ascii="Times New Roman" w:eastAsia="Times New Roman" w:hAnsi="Times New Roman" w:cs="Times New Roman"/>
          <w:b/>
          <w:color w:val="000000" w:themeColor="text1"/>
          <w:sz w:val="24"/>
          <w:szCs w:val="24"/>
          <w:u w:val="single"/>
          <w:lang w:eastAsia="ru-RU"/>
        </w:rPr>
        <w:t>марта</w:t>
      </w:r>
      <w:r w:rsidR="004E7DDA">
        <w:rPr>
          <w:rFonts w:ascii="Times New Roman" w:eastAsia="Times New Roman" w:hAnsi="Times New Roman" w:cs="Times New Roman"/>
          <w:b/>
          <w:color w:val="000000" w:themeColor="text1"/>
          <w:sz w:val="24"/>
          <w:szCs w:val="24"/>
          <w:u w:val="single"/>
          <w:lang w:eastAsia="ru-RU"/>
        </w:rPr>
        <w:t xml:space="preserve"> </w:t>
      </w:r>
      <w:r w:rsidRPr="00522EE2">
        <w:rPr>
          <w:rFonts w:ascii="Times New Roman" w:eastAsia="Times New Roman" w:hAnsi="Times New Roman" w:cs="Times New Roman"/>
          <w:b/>
          <w:color w:val="000000" w:themeColor="text1"/>
          <w:sz w:val="24"/>
          <w:szCs w:val="24"/>
          <w:lang w:eastAsia="ru-RU"/>
        </w:rPr>
        <w:t>20</w:t>
      </w:r>
      <w:r w:rsidR="002F11EB">
        <w:rPr>
          <w:rFonts w:ascii="Times New Roman" w:eastAsia="Times New Roman" w:hAnsi="Times New Roman" w:cs="Times New Roman"/>
          <w:b/>
          <w:color w:val="000000" w:themeColor="text1"/>
          <w:sz w:val="24"/>
          <w:szCs w:val="24"/>
          <w:lang w:eastAsia="ru-RU"/>
        </w:rPr>
        <w:t>20</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5007D1" w:rsidP="00301F27">
      <w:pPr>
        <w:spacing w:after="0" w:line="360" w:lineRule="auto"/>
        <w:jc w:val="center"/>
        <w:rPr>
          <w:rFonts w:ascii="Times New Roman" w:eastAsia="Times New Roman" w:hAnsi="Times New Roman" w:cs="Times New Roman"/>
          <w:b/>
          <w:i/>
          <w:color w:val="000000" w:themeColor="text1"/>
          <w:sz w:val="24"/>
          <w:szCs w:val="24"/>
          <w:lang w:eastAsia="ru-RU"/>
        </w:rPr>
      </w:pPr>
      <w:r w:rsidRPr="005007D1">
        <w:rPr>
          <w:rFonts w:ascii="Times New Roman" w:eastAsia="Times New Roman" w:hAnsi="Times New Roman" w:cs="Times New Roman"/>
          <w:b/>
          <w:color w:val="000000" w:themeColor="text1"/>
          <w:sz w:val="24"/>
          <w:szCs w:val="24"/>
          <w:lang w:eastAsia="ru-RU"/>
        </w:rPr>
        <w:t>«Приобретение тест-полосок для анализатора мочи Clinitek Status Plus» на 2020 год.</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 xml:space="preserve"> 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w:t>
      </w:r>
      <w:r w:rsidR="00A0770B" w:rsidRPr="00A0770B">
        <w:rPr>
          <w:b/>
        </w:rPr>
        <w:t>Об утверждении Правил организации и проведения закупа лекарственных средств и медицинских изделий, фармацевтических услуг</w:t>
      </w:r>
      <w:r w:rsidR="00411BD2" w:rsidRPr="00522EE2">
        <w:rPr>
          <w:b/>
          <w:color w:val="000000" w:themeColor="text1"/>
        </w:rPr>
        <w:t>»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2F11EB">
        <w:rPr>
          <w:b/>
          <w:color w:val="000000" w:themeColor="text1"/>
        </w:rPr>
        <w:t>лекарственных средств</w:t>
      </w:r>
      <w:r w:rsidRPr="00522EE2">
        <w:rPr>
          <w:b/>
          <w:color w:val="000000" w:themeColor="text1"/>
        </w:rPr>
        <w:t>»</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 xml:space="preserve">Настоящая Тендерная документация про проведению тендера </w:t>
      </w:r>
      <w:r w:rsidR="005007D1" w:rsidRPr="005007D1">
        <w:rPr>
          <w:rFonts w:ascii="Times New Roman" w:eastAsia="Times New Roman" w:hAnsi="Times New Roman" w:cs="Times New Roman"/>
          <w:b/>
          <w:color w:val="000000" w:themeColor="text1"/>
          <w:sz w:val="24"/>
          <w:szCs w:val="24"/>
          <w:lang w:eastAsia="ru-RU"/>
        </w:rPr>
        <w:t>«Приобретение тест-полосок для анализатора мочи Clinitek Status Plus» на 2020 год.</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lastRenderedPageBreak/>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xml:space="preserve">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w:t>
      </w:r>
      <w:r w:rsidRPr="007C258B">
        <w:rPr>
          <w:rFonts w:ascii="Times New Roman" w:eastAsia="Times New Roman" w:hAnsi="Times New Roman" w:cs="Times New Roman"/>
          <w:sz w:val="24"/>
          <w:szCs w:val="24"/>
          <w:lang w:eastAsia="ru-RU"/>
        </w:rPr>
        <w:lastRenderedPageBreak/>
        <w:t>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сведения о квалификации по форме,</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xml:space="preserve">)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w:t>
      </w:r>
      <w:r w:rsidR="00A677A1" w:rsidRPr="007C258B">
        <w:rPr>
          <w:rFonts w:ascii="Times New Roman" w:eastAsia="Times New Roman" w:hAnsi="Times New Roman" w:cs="Times New Roman"/>
          <w:sz w:val="24"/>
          <w:szCs w:val="24"/>
          <w:lang w:eastAsia="ru-RU"/>
        </w:rPr>
        <w:lastRenderedPageBreak/>
        <w:t>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 xml:space="preserve">гарантийного денежного взноса, который вносится на банковский счет </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Default="001F048B" w:rsidP="006244A1">
      <w:pPr>
        <w:spacing w:after="0"/>
        <w:jc w:val="both"/>
        <w:rPr>
          <w:rFonts w:ascii="Times New Roman" w:eastAsia="Times New Roman" w:hAnsi="Times New Roman" w:cs="Times New Roman"/>
          <w:b/>
          <w:sz w:val="24"/>
          <w:szCs w:val="24"/>
          <w:lang w:eastAsia="ru-RU"/>
        </w:rPr>
      </w:pP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5007D1" w:rsidRPr="005007D1">
        <w:rPr>
          <w:rFonts w:ascii="Times New Roman" w:eastAsia="Times New Roman" w:hAnsi="Times New Roman" w:cs="Times New Roman"/>
          <w:b/>
          <w:sz w:val="24"/>
          <w:szCs w:val="24"/>
          <w:lang w:eastAsia="ru-RU"/>
        </w:rPr>
        <w:t>«Приобретение тест-полосок для анализатора мочи Clinitek Status Plus» на 2020 год.</w:t>
      </w:r>
      <w:r w:rsidR="00BC0D1C" w:rsidRPr="00DC00C2">
        <w:rPr>
          <w:rFonts w:ascii="Times New Roman" w:eastAsia="Times New Roman" w:hAnsi="Times New Roman" w:cs="Times New Roman"/>
          <w:b/>
          <w:sz w:val="24"/>
          <w:szCs w:val="24"/>
          <w:lang w:eastAsia="ru-RU"/>
        </w:rPr>
        <w:t xml:space="preserve"> </w:t>
      </w:r>
      <w:r w:rsidR="008B36F3" w:rsidRPr="00DC00C2">
        <w:rPr>
          <w:rFonts w:ascii="Times New Roman" w:eastAsia="Times New Roman" w:hAnsi="Times New Roman" w:cs="Times New Roman"/>
          <w:b/>
          <w:sz w:val="24"/>
          <w:szCs w:val="24"/>
          <w:lang w:eastAsia="ru-RU"/>
        </w:rPr>
        <w:t xml:space="preserve"> и «Не вскрывать до 1</w:t>
      </w:r>
      <w:r w:rsidR="005007D1">
        <w:rPr>
          <w:rFonts w:ascii="Times New Roman" w:eastAsia="Times New Roman" w:hAnsi="Times New Roman" w:cs="Times New Roman"/>
          <w:b/>
          <w:sz w:val="24"/>
          <w:szCs w:val="24"/>
          <w:lang w:val="kk-KZ" w:eastAsia="ru-RU"/>
        </w:rPr>
        <w:t>1</w:t>
      </w:r>
      <w:r w:rsidR="008B36F3" w:rsidRPr="00DC00C2">
        <w:rPr>
          <w:rFonts w:ascii="Times New Roman" w:eastAsia="Times New Roman" w:hAnsi="Times New Roman" w:cs="Times New Roman"/>
          <w:b/>
          <w:sz w:val="24"/>
          <w:szCs w:val="24"/>
          <w:lang w:eastAsia="ru-RU"/>
        </w:rPr>
        <w:t xml:space="preserve"> часов 00 мин. </w:t>
      </w:r>
      <w:r w:rsidR="00723814">
        <w:rPr>
          <w:rFonts w:ascii="Times New Roman" w:eastAsia="Times New Roman" w:hAnsi="Times New Roman" w:cs="Times New Roman"/>
          <w:b/>
          <w:sz w:val="24"/>
          <w:szCs w:val="24"/>
          <w:lang w:val="kk-KZ" w:eastAsia="ru-RU"/>
        </w:rPr>
        <w:t>2</w:t>
      </w:r>
      <w:r w:rsidR="005007D1">
        <w:rPr>
          <w:rFonts w:ascii="Times New Roman" w:eastAsia="Times New Roman" w:hAnsi="Times New Roman" w:cs="Times New Roman"/>
          <w:b/>
          <w:sz w:val="24"/>
          <w:szCs w:val="24"/>
          <w:lang w:val="kk-KZ" w:eastAsia="ru-RU"/>
        </w:rPr>
        <w:t>6</w:t>
      </w:r>
      <w:r w:rsidR="00C01548" w:rsidRPr="00DC00C2">
        <w:rPr>
          <w:rFonts w:ascii="Times New Roman" w:eastAsia="Times New Roman" w:hAnsi="Times New Roman" w:cs="Times New Roman"/>
          <w:b/>
          <w:sz w:val="24"/>
          <w:szCs w:val="24"/>
          <w:lang w:eastAsia="ru-RU"/>
        </w:rPr>
        <w:t xml:space="preserve"> </w:t>
      </w:r>
      <w:r w:rsidR="005007D1">
        <w:rPr>
          <w:rFonts w:ascii="Times New Roman" w:eastAsia="Times New Roman" w:hAnsi="Times New Roman" w:cs="Times New Roman"/>
          <w:b/>
          <w:sz w:val="24"/>
          <w:szCs w:val="24"/>
          <w:lang w:eastAsia="ru-RU"/>
        </w:rPr>
        <w:t>марта</w:t>
      </w:r>
      <w:r w:rsidR="00C01548" w:rsidRPr="00DC00C2">
        <w:rPr>
          <w:rFonts w:ascii="Times New Roman" w:eastAsia="Times New Roman" w:hAnsi="Times New Roman" w:cs="Times New Roman"/>
          <w:b/>
          <w:sz w:val="24"/>
          <w:szCs w:val="24"/>
          <w:lang w:eastAsia="ru-RU"/>
        </w:rPr>
        <w:t xml:space="preserve"> 20</w:t>
      </w:r>
      <w:r w:rsidR="00723814">
        <w:rPr>
          <w:rFonts w:ascii="Times New Roman" w:eastAsia="Times New Roman" w:hAnsi="Times New Roman" w:cs="Times New Roman"/>
          <w:b/>
          <w:sz w:val="24"/>
          <w:szCs w:val="24"/>
          <w:lang w:val="kk-KZ" w:eastAsia="ru-RU"/>
        </w:rPr>
        <w:t xml:space="preserve">20 </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Окончательный срок предо</w:t>
      </w:r>
      <w:r w:rsidR="005007D1">
        <w:rPr>
          <w:rFonts w:ascii="Times New Roman" w:eastAsia="Times New Roman" w:hAnsi="Times New Roman" w:cs="Times New Roman"/>
          <w:b/>
          <w:color w:val="FF0000"/>
          <w:sz w:val="24"/>
          <w:szCs w:val="24"/>
          <w:u w:val="single"/>
          <w:lang w:eastAsia="ru-RU"/>
        </w:rPr>
        <w:t>ставления тендерных заявок- до 09</w:t>
      </w:r>
      <w:r w:rsidR="00860FEF" w:rsidRPr="00DC00C2">
        <w:rPr>
          <w:rFonts w:ascii="Times New Roman" w:eastAsia="Times New Roman" w:hAnsi="Times New Roman" w:cs="Times New Roman"/>
          <w:b/>
          <w:color w:val="FF0000"/>
          <w:sz w:val="24"/>
          <w:szCs w:val="24"/>
          <w:u w:val="single"/>
          <w:lang w:eastAsia="ru-RU"/>
        </w:rPr>
        <w:t xml:space="preserve">:00 часов местного времени </w:t>
      </w:r>
      <w:r w:rsidR="00FA011B">
        <w:rPr>
          <w:rFonts w:ascii="Times New Roman" w:eastAsia="Times New Roman" w:hAnsi="Times New Roman" w:cs="Times New Roman"/>
          <w:b/>
          <w:color w:val="FF0000"/>
          <w:sz w:val="24"/>
          <w:szCs w:val="24"/>
          <w:u w:val="single"/>
          <w:lang w:val="kk-KZ" w:eastAsia="ru-RU"/>
        </w:rPr>
        <w:t>2</w:t>
      </w:r>
      <w:r w:rsidR="005007D1">
        <w:rPr>
          <w:rFonts w:ascii="Times New Roman" w:eastAsia="Times New Roman" w:hAnsi="Times New Roman" w:cs="Times New Roman"/>
          <w:b/>
          <w:color w:val="FF0000"/>
          <w:sz w:val="24"/>
          <w:szCs w:val="24"/>
          <w:u w:val="single"/>
          <w:lang w:val="kk-KZ" w:eastAsia="ru-RU"/>
        </w:rPr>
        <w:t>6</w:t>
      </w:r>
      <w:r w:rsidR="00860FEF" w:rsidRPr="00DC00C2">
        <w:rPr>
          <w:rFonts w:ascii="Times New Roman" w:eastAsia="Times New Roman" w:hAnsi="Times New Roman" w:cs="Times New Roman"/>
          <w:b/>
          <w:color w:val="FF0000"/>
          <w:sz w:val="24"/>
          <w:szCs w:val="24"/>
          <w:u w:val="single"/>
          <w:lang w:eastAsia="ru-RU"/>
        </w:rPr>
        <w:t xml:space="preserve"> </w:t>
      </w:r>
      <w:r w:rsidR="005007D1">
        <w:rPr>
          <w:rFonts w:ascii="Times New Roman" w:eastAsia="Times New Roman" w:hAnsi="Times New Roman" w:cs="Times New Roman"/>
          <w:b/>
          <w:color w:val="FF0000"/>
          <w:sz w:val="24"/>
          <w:szCs w:val="24"/>
          <w:u w:val="single"/>
          <w:lang w:eastAsia="ru-RU"/>
        </w:rPr>
        <w:t>марта</w:t>
      </w:r>
      <w:r w:rsidR="00860FEF" w:rsidRPr="00DC00C2">
        <w:rPr>
          <w:rFonts w:ascii="Times New Roman" w:eastAsia="Times New Roman" w:hAnsi="Times New Roman" w:cs="Times New Roman"/>
          <w:b/>
          <w:color w:val="FF0000"/>
          <w:sz w:val="24"/>
          <w:szCs w:val="24"/>
          <w:u w:val="single"/>
          <w:lang w:eastAsia="ru-RU"/>
        </w:rPr>
        <w:t xml:space="preserve"> 20</w:t>
      </w:r>
      <w:r w:rsidR="00FA011B">
        <w:rPr>
          <w:rFonts w:ascii="Times New Roman" w:eastAsia="Times New Roman" w:hAnsi="Times New Roman" w:cs="Times New Roman"/>
          <w:b/>
          <w:color w:val="FF0000"/>
          <w:sz w:val="24"/>
          <w:szCs w:val="24"/>
          <w:u w:val="single"/>
          <w:lang w:val="kk-KZ" w:eastAsia="ru-RU"/>
        </w:rPr>
        <w:t>20</w:t>
      </w:r>
      <w:r w:rsidR="00860FEF" w:rsidRPr="00DC00C2">
        <w:rPr>
          <w:rFonts w:ascii="Times New Roman" w:eastAsia="Times New Roman" w:hAnsi="Times New Roman" w:cs="Times New Roman"/>
          <w:b/>
          <w:color w:val="FF0000"/>
          <w:sz w:val="24"/>
          <w:szCs w:val="24"/>
          <w:u w:val="single"/>
          <w:lang w:eastAsia="ru-RU"/>
        </w:rPr>
        <w:t xml:space="preserve">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9013F3" w:rsidRDefault="009013F3" w:rsidP="006244A1">
      <w:pPr>
        <w:spacing w:after="0"/>
        <w:jc w:val="both"/>
        <w:rPr>
          <w:rFonts w:ascii="Times New Roman" w:eastAsia="Times New Roman" w:hAnsi="Times New Roman" w:cs="Times New Roman"/>
          <w:sz w:val="24"/>
          <w:szCs w:val="24"/>
          <w:lang w:eastAsia="ru-RU"/>
        </w:rPr>
      </w:pP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1F048B" w:rsidRDefault="001F048B"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D21D1B" w:rsidRPr="00DC00C2">
        <w:rPr>
          <w:rFonts w:ascii="Times New Roman" w:eastAsia="Times New Roman" w:hAnsi="Times New Roman" w:cs="Times New Roman"/>
          <w:color w:val="FF0000"/>
          <w:sz w:val="24"/>
          <w:szCs w:val="24"/>
          <w:lang w:eastAsia="ru-RU"/>
        </w:rPr>
        <w:t>1</w:t>
      </w:r>
      <w:r w:rsidR="005007D1">
        <w:rPr>
          <w:rFonts w:ascii="Times New Roman" w:eastAsia="Times New Roman" w:hAnsi="Times New Roman" w:cs="Times New Roman"/>
          <w:color w:val="FF0000"/>
          <w:sz w:val="24"/>
          <w:szCs w:val="24"/>
          <w:lang w:val="kk-KZ" w:eastAsia="ru-RU"/>
        </w:rPr>
        <w:t>2</w:t>
      </w:r>
      <w:r w:rsidR="00D21D1B" w:rsidRPr="00DC00C2">
        <w:rPr>
          <w:rFonts w:ascii="Times New Roman" w:eastAsia="Times New Roman" w:hAnsi="Times New Roman" w:cs="Times New Roman"/>
          <w:color w:val="FF0000"/>
          <w:sz w:val="24"/>
          <w:szCs w:val="24"/>
          <w:lang w:eastAsia="ru-RU"/>
        </w:rPr>
        <w:t xml:space="preserve"> часов 00 мин</w:t>
      </w:r>
      <w:r w:rsidR="002F11EB">
        <w:rPr>
          <w:rFonts w:ascii="Times New Roman" w:eastAsia="Times New Roman" w:hAnsi="Times New Roman" w:cs="Times New Roman"/>
          <w:color w:val="FF0000"/>
          <w:sz w:val="24"/>
          <w:szCs w:val="24"/>
          <w:lang w:eastAsia="ru-RU"/>
        </w:rPr>
        <w:t>,</w:t>
      </w:r>
      <w:r w:rsidR="00D21D1B" w:rsidRPr="00DC00C2">
        <w:rPr>
          <w:rFonts w:ascii="Times New Roman" w:eastAsia="Times New Roman" w:hAnsi="Times New Roman" w:cs="Times New Roman"/>
          <w:color w:val="FF0000"/>
          <w:sz w:val="24"/>
          <w:szCs w:val="24"/>
          <w:lang w:eastAsia="ru-RU"/>
        </w:rPr>
        <w:t xml:space="preserve"> </w:t>
      </w:r>
      <w:r w:rsidR="002F11EB">
        <w:rPr>
          <w:rFonts w:ascii="Times New Roman" w:eastAsia="Times New Roman" w:hAnsi="Times New Roman" w:cs="Times New Roman"/>
          <w:color w:val="FF0000"/>
          <w:sz w:val="24"/>
          <w:szCs w:val="24"/>
          <w:lang w:eastAsia="ru-RU"/>
        </w:rPr>
        <w:br/>
      </w:r>
      <w:r w:rsidR="00723814">
        <w:rPr>
          <w:rFonts w:ascii="Times New Roman" w:eastAsia="Times New Roman" w:hAnsi="Times New Roman" w:cs="Times New Roman"/>
          <w:color w:val="FF0000"/>
          <w:sz w:val="24"/>
          <w:szCs w:val="24"/>
          <w:lang w:val="kk-KZ" w:eastAsia="ru-RU"/>
        </w:rPr>
        <w:t>2</w:t>
      </w:r>
      <w:r w:rsidR="005007D1">
        <w:rPr>
          <w:rFonts w:ascii="Times New Roman" w:eastAsia="Times New Roman" w:hAnsi="Times New Roman" w:cs="Times New Roman"/>
          <w:color w:val="FF0000"/>
          <w:sz w:val="24"/>
          <w:szCs w:val="24"/>
          <w:lang w:val="kk-KZ" w:eastAsia="ru-RU"/>
        </w:rPr>
        <w:t>6</w:t>
      </w:r>
      <w:r w:rsidRPr="00DC00C2">
        <w:rPr>
          <w:rFonts w:ascii="Times New Roman" w:eastAsia="Times New Roman" w:hAnsi="Times New Roman" w:cs="Times New Roman"/>
          <w:color w:val="FF0000"/>
          <w:sz w:val="24"/>
          <w:szCs w:val="24"/>
          <w:lang w:eastAsia="ru-RU"/>
        </w:rPr>
        <w:t xml:space="preserve"> </w:t>
      </w:r>
      <w:r w:rsidR="005007D1">
        <w:rPr>
          <w:rFonts w:ascii="Times New Roman" w:eastAsia="Times New Roman" w:hAnsi="Times New Roman" w:cs="Times New Roman"/>
          <w:color w:val="FF0000"/>
          <w:sz w:val="24"/>
          <w:szCs w:val="24"/>
          <w:lang w:eastAsia="ru-RU"/>
        </w:rPr>
        <w:t>марта</w:t>
      </w:r>
      <w:r w:rsidRPr="00DC00C2">
        <w:rPr>
          <w:rFonts w:ascii="Times New Roman" w:eastAsia="Times New Roman" w:hAnsi="Times New Roman" w:cs="Times New Roman"/>
          <w:color w:val="FF0000"/>
          <w:sz w:val="24"/>
          <w:szCs w:val="24"/>
          <w:lang w:eastAsia="ru-RU"/>
        </w:rPr>
        <w:t xml:space="preserve"> 20</w:t>
      </w:r>
      <w:r w:rsidR="00723814">
        <w:rPr>
          <w:rFonts w:ascii="Times New Roman" w:eastAsia="Times New Roman" w:hAnsi="Times New Roman" w:cs="Times New Roman"/>
          <w:color w:val="FF0000"/>
          <w:sz w:val="24"/>
          <w:szCs w:val="24"/>
          <w:lang w:val="kk-KZ" w:eastAsia="ru-RU"/>
        </w:rPr>
        <w:t>20</w:t>
      </w:r>
      <w:r w:rsidRPr="00DC00C2">
        <w:rPr>
          <w:rFonts w:ascii="Times New Roman" w:eastAsia="Times New Roman" w:hAnsi="Times New Roman" w:cs="Times New Roman"/>
          <w:color w:val="FF0000"/>
          <w:sz w:val="24"/>
          <w:szCs w:val="24"/>
          <w:lang w:eastAsia="ru-RU"/>
        </w:rPr>
        <w:t xml:space="preserve">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22) представления потенциальным поставщиком цены товара,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4570AD">
      <w:pPr>
        <w:spacing w:after="0" w:line="360" w:lineRule="auto"/>
        <w:rPr>
          <w:rFonts w:ascii="Times New Roman" w:eastAsia="Times New Roman" w:hAnsi="Times New Roman" w:cs="Times New Roman"/>
          <w:b/>
          <w:sz w:val="24"/>
          <w:szCs w:val="24"/>
          <w:lang w:eastAsia="ru-RU"/>
        </w:rPr>
      </w:pP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ind w:firstLine="709"/>
        <w:jc w:val="both"/>
        <w:rPr>
          <w:rFonts w:ascii="Times New Roman(K)" w:eastAsia="Times New Roman" w:hAnsi="Times New Roman(K)" w:cs="Times New Roman(K)"/>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23EEE">
          <w:pgSz w:w="11906" w:h="16838"/>
          <w:pgMar w:top="709" w:right="850" w:bottom="709"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28937" w:type="dxa"/>
        <w:tblInd w:w="-943" w:type="dxa"/>
        <w:tblCellMar>
          <w:left w:w="10" w:type="dxa"/>
          <w:right w:w="10" w:type="dxa"/>
        </w:tblCellMar>
        <w:tblLook w:val="0000" w:firstRow="0" w:lastRow="0" w:firstColumn="0" w:lastColumn="0" w:noHBand="0" w:noVBand="0"/>
      </w:tblPr>
      <w:tblGrid>
        <w:gridCol w:w="532"/>
        <w:gridCol w:w="596"/>
        <w:gridCol w:w="897"/>
        <w:gridCol w:w="1985"/>
        <w:gridCol w:w="1136"/>
        <w:gridCol w:w="1256"/>
        <w:gridCol w:w="1945"/>
        <w:gridCol w:w="1494"/>
        <w:gridCol w:w="1464"/>
        <w:gridCol w:w="3247"/>
        <w:gridCol w:w="1417"/>
        <w:gridCol w:w="39"/>
        <w:gridCol w:w="418"/>
        <w:gridCol w:w="1418"/>
        <w:gridCol w:w="1836"/>
        <w:gridCol w:w="1836"/>
        <w:gridCol w:w="1836"/>
        <w:gridCol w:w="1836"/>
        <w:gridCol w:w="1836"/>
        <w:gridCol w:w="1913"/>
      </w:tblGrid>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Pr="00F6116F">
              <w:rPr>
                <w:rFonts w:ascii="Times New Roman" w:eastAsia="Times New Roman" w:hAnsi="Times New Roman" w:cs="Times New Roman"/>
                <w:b/>
                <w:bCs/>
                <w:color w:val="000000"/>
                <w:sz w:val="24"/>
                <w:szCs w:val="24"/>
                <w:lang w:eastAsia="zh-CN"/>
              </w:rPr>
              <w:t>Приобретение реагентов по скринингу новорожденных и беременных для лаборатории меди</w:t>
            </w:r>
            <w:r w:rsidRPr="00F6116F">
              <w:rPr>
                <w:rFonts w:ascii="Times New Roman" w:eastAsia="Times New Roman" w:hAnsi="Times New Roman" w:cs="Times New Roman"/>
                <w:b/>
                <w:bCs/>
                <w:color w:val="000000"/>
                <w:sz w:val="24"/>
                <w:szCs w:val="24"/>
                <w:lang w:val="kk-KZ" w:eastAsia="zh-CN"/>
              </w:rPr>
              <w:t>ко-</w:t>
            </w:r>
            <w:r w:rsidRPr="00F6116F">
              <w:rPr>
                <w:rFonts w:ascii="Times New Roman" w:eastAsia="Times New Roman" w:hAnsi="Times New Roman" w:cs="Times New Roman"/>
                <w:b/>
                <w:bCs/>
                <w:color w:val="000000"/>
                <w:sz w:val="24"/>
                <w:szCs w:val="24"/>
                <w:lang w:eastAsia="zh-CN"/>
              </w:rPr>
              <w:t>генети</w:t>
            </w:r>
            <w:r w:rsidRPr="00F6116F">
              <w:rPr>
                <w:rFonts w:ascii="Times New Roman" w:eastAsia="Times New Roman" w:hAnsi="Times New Roman" w:cs="Times New Roman"/>
                <w:b/>
                <w:bCs/>
                <w:color w:val="000000"/>
                <w:sz w:val="24"/>
                <w:szCs w:val="24"/>
                <w:lang w:val="kk-KZ" w:eastAsia="zh-CN"/>
              </w:rPr>
              <w:t>ческой службы</w:t>
            </w:r>
            <w:r w:rsidRPr="00F6116F">
              <w:rPr>
                <w:rFonts w:ascii="Times New Roman" w:eastAsia="Times New Roman" w:hAnsi="Times New Roman" w:cs="Times New Roman"/>
                <w:b/>
                <w:lang w:eastAsia="zh-CN"/>
              </w:rPr>
              <w:t>»</w:t>
            </w:r>
          </w:p>
        </w:tc>
      </w:tr>
      <w:tr w:rsidR="00F6116F" w:rsidRPr="00F6116F" w:rsidTr="002F11EB">
        <w:tblPrEx>
          <w:tblBorders>
            <w:top w:val="single" w:sz="8" w:space="0" w:color="000000"/>
            <w:left w:val="single" w:sz="8" w:space="0" w:color="000000"/>
          </w:tblBorders>
        </w:tblPrEx>
        <w:trPr>
          <w:gridAfter w:val="9"/>
          <w:wAfter w:w="12968" w:type="dxa"/>
          <w:cantSplit/>
          <w:trHeight w:val="115"/>
        </w:trPr>
        <w:tc>
          <w:tcPr>
            <w:tcW w:w="53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F6116F">
              <w:rPr>
                <w:rFonts w:ascii="Times New Roman" w:eastAsia="Times New Roman" w:hAnsi="Times New Roman" w:cs="Times New Roman"/>
                <w:color w:val="000000"/>
                <w:lang w:eastAsia="zh-CN"/>
              </w:rPr>
              <w:t> </w:t>
            </w:r>
            <w:r w:rsidRPr="002F11EB">
              <w:rPr>
                <w:rFonts w:ascii="Times New Roman" w:eastAsia="Times New Roman" w:hAnsi="Times New Roman" w:cs="Times New Roman"/>
                <w:b/>
                <w:bCs/>
                <w:color w:val="000000"/>
                <w:lang w:eastAsia="zh-CN"/>
              </w:rPr>
              <w:t>№ лота</w:t>
            </w:r>
          </w:p>
        </w:tc>
        <w:tc>
          <w:tcPr>
            <w:tcW w:w="1493" w:type="dxa"/>
            <w:gridSpan w:val="2"/>
            <w:tcBorders>
              <w:top w:val="single" w:sz="8" w:space="0" w:color="000000"/>
              <w:left w:val="single" w:sz="8"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заказчика</w:t>
            </w:r>
          </w:p>
        </w:tc>
        <w:tc>
          <w:tcPr>
            <w:tcW w:w="198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товара</w:t>
            </w:r>
          </w:p>
        </w:tc>
        <w:tc>
          <w:tcPr>
            <w:tcW w:w="113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Единица измерения</w:t>
            </w:r>
          </w:p>
        </w:tc>
        <w:tc>
          <w:tcPr>
            <w:tcW w:w="125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Количество</w:t>
            </w:r>
          </w:p>
        </w:tc>
        <w:tc>
          <w:tcPr>
            <w:tcW w:w="194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Условия поставки (в соответствии с ИНКОТЕРМС 2000)</w:t>
            </w:r>
          </w:p>
        </w:tc>
        <w:tc>
          <w:tcPr>
            <w:tcW w:w="149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Срок поставки </w:t>
            </w:r>
          </w:p>
          <w:p w:rsidR="00F6116F" w:rsidRPr="002F11EB" w:rsidRDefault="00F6116F" w:rsidP="00F6116F">
            <w:pPr>
              <w:tabs>
                <w:tab w:val="left" w:pos="708"/>
              </w:tabs>
              <w:suppressAutoHyphens/>
              <w:spacing w:line="115" w:lineRule="atLeast"/>
              <w:jc w:val="center"/>
              <w:rPr>
                <w:rFonts w:ascii="Times New Roman" w:eastAsia="Times New Roman" w:hAnsi="Times New Roman" w:cs="Times New Roman"/>
                <w:lang w:eastAsia="zh-CN"/>
              </w:rPr>
            </w:pPr>
          </w:p>
        </w:tc>
        <w:tc>
          <w:tcPr>
            <w:tcW w:w="146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Место поставки товара</w:t>
            </w:r>
          </w:p>
        </w:tc>
        <w:tc>
          <w:tcPr>
            <w:tcW w:w="3247"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Размер авансового платежа, % </w:t>
            </w:r>
          </w:p>
        </w:tc>
        <w:tc>
          <w:tcPr>
            <w:tcW w:w="1417"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Сумма, выделенная для закупа , тенге</w:t>
            </w:r>
          </w:p>
        </w:tc>
      </w:tr>
      <w:tr w:rsidR="00F6116F" w:rsidRPr="00F6116F" w:rsidTr="002F11EB">
        <w:tblPrEx>
          <w:tblBorders>
            <w:top w:val="single" w:sz="8" w:space="0" w:color="000000"/>
            <w:left w:val="single" w:sz="8" w:space="0" w:color="000000"/>
          </w:tblBorders>
        </w:tblPrEx>
        <w:trPr>
          <w:gridAfter w:val="9"/>
          <w:wAfter w:w="12968" w:type="dxa"/>
          <w:cantSplit/>
          <w:trHeight w:val="65"/>
        </w:trPr>
        <w:tc>
          <w:tcPr>
            <w:tcW w:w="53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w:t>
            </w:r>
          </w:p>
        </w:tc>
        <w:tc>
          <w:tcPr>
            <w:tcW w:w="1493"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2</w:t>
            </w:r>
          </w:p>
        </w:tc>
        <w:tc>
          <w:tcPr>
            <w:tcW w:w="198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3</w:t>
            </w:r>
          </w:p>
        </w:tc>
        <w:tc>
          <w:tcPr>
            <w:tcW w:w="113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4</w:t>
            </w:r>
          </w:p>
        </w:tc>
        <w:tc>
          <w:tcPr>
            <w:tcW w:w="125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5</w:t>
            </w:r>
          </w:p>
        </w:tc>
        <w:tc>
          <w:tcPr>
            <w:tcW w:w="194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6</w:t>
            </w:r>
          </w:p>
        </w:tc>
        <w:tc>
          <w:tcPr>
            <w:tcW w:w="149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7</w:t>
            </w:r>
          </w:p>
        </w:tc>
        <w:tc>
          <w:tcPr>
            <w:tcW w:w="146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8</w:t>
            </w:r>
          </w:p>
        </w:tc>
        <w:tc>
          <w:tcPr>
            <w:tcW w:w="3247"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9</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10</w:t>
            </w:r>
          </w:p>
        </w:tc>
      </w:tr>
      <w:tr w:rsidR="001A050E"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1</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2F11EB" w:rsidRDefault="001A050E" w:rsidP="00682397">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5007D1" w:rsidP="00B44024">
            <w:pPr>
              <w:pStyle w:val="a7"/>
              <w:rPr>
                <w:sz w:val="22"/>
                <w:szCs w:val="22"/>
              </w:rPr>
            </w:pPr>
            <w:r w:rsidRPr="005007D1">
              <w:rPr>
                <w:b/>
                <w:bCs/>
                <w:sz w:val="20"/>
                <w:szCs w:val="20"/>
              </w:rPr>
              <w:t>Тест полоски для анализатора мочи Clinitek Status Plus</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jc w:val="center"/>
              <w:rPr>
                <w:rFonts w:ascii="Times New Roman" w:hAnsi="Times New Roman" w:cs="Times New Roman"/>
                <w:snapToGrid w:val="0"/>
              </w:rPr>
            </w:pPr>
            <w:r w:rsidRPr="002F11EB">
              <w:rPr>
                <w:rFonts w:ascii="Times New Roman" w:hAnsi="Times New Roman" w:cs="Times New Roman"/>
                <w:snapToGrid w:val="0"/>
              </w:rPr>
              <w:t>шт</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5007D1" w:rsidP="00546E36">
            <w:pPr>
              <w:pStyle w:val="a7"/>
              <w:jc w:val="center"/>
              <w:rPr>
                <w:sz w:val="22"/>
                <w:szCs w:val="22"/>
                <w:lang w:val="kk-KZ"/>
              </w:rPr>
            </w:pPr>
            <w:r>
              <w:rPr>
                <w:sz w:val="22"/>
                <w:szCs w:val="22"/>
                <w:lang w:val="kk-KZ"/>
              </w:rPr>
              <w:t>300</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1F3E8B">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456958">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30 % авансовый платеж, а остальные 70 % по факту поставки товара в полном объеме в тенге </w:t>
            </w:r>
            <w:r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2F11EB" w:rsidRDefault="005007D1" w:rsidP="0036626E">
            <w:pPr>
              <w:tabs>
                <w:tab w:val="left" w:pos="708"/>
              </w:tabs>
              <w:suppressAutoHyphens/>
              <w:jc w:val="center"/>
              <w:rPr>
                <w:rFonts w:ascii="Times New Roman" w:eastAsia="Times New Roman" w:hAnsi="Times New Roman" w:cs="Times New Roman"/>
                <w:lang w:eastAsia="zh-CN"/>
              </w:rPr>
            </w:pPr>
            <w:r>
              <w:rPr>
                <w:rFonts w:ascii="Times New Roman" w:eastAsia="Times New Roman" w:hAnsi="Times New Roman" w:cs="Times New Roman"/>
                <w:lang w:eastAsia="zh-CN"/>
              </w:rPr>
              <w:t>5 400 000</w:t>
            </w:r>
          </w:p>
        </w:tc>
      </w:tr>
      <w:tr w:rsidR="00F033F0"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F033F0" w:rsidRPr="00F033F0" w:rsidRDefault="00F033F0" w:rsidP="00F033F0">
            <w:pPr>
              <w:tabs>
                <w:tab w:val="left" w:pos="708"/>
              </w:tabs>
              <w:suppressAutoHyphens/>
              <w:snapToGrid w:val="0"/>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2</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F033F0" w:rsidRPr="002F11EB" w:rsidRDefault="00F033F0" w:rsidP="00F033F0">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pStyle w:val="a7"/>
              <w:rPr>
                <w:sz w:val="22"/>
                <w:szCs w:val="22"/>
              </w:rPr>
            </w:pPr>
            <w:r w:rsidRPr="00E57928">
              <w:rPr>
                <w:b/>
                <w:bCs/>
                <w:sz w:val="20"/>
                <w:szCs w:val="20"/>
              </w:rPr>
              <w:t>Картриджи Atellica UAS 800</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jc w:val="center"/>
              <w:rPr>
                <w:rFonts w:ascii="Times New Roman" w:hAnsi="Times New Roman" w:cs="Times New Roman"/>
                <w:snapToGrid w:val="0"/>
              </w:rPr>
            </w:pPr>
            <w:r w:rsidRPr="002F11EB">
              <w:rPr>
                <w:rFonts w:ascii="Times New Roman" w:hAnsi="Times New Roman" w:cs="Times New Roman"/>
                <w:snapToGrid w:val="0"/>
              </w:rPr>
              <w:t>шт</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pStyle w:val="a7"/>
              <w:jc w:val="center"/>
              <w:rPr>
                <w:sz w:val="22"/>
                <w:szCs w:val="22"/>
                <w:lang w:val="kk-KZ"/>
              </w:rPr>
            </w:pPr>
            <w:r>
              <w:rPr>
                <w:sz w:val="22"/>
                <w:szCs w:val="22"/>
                <w:lang w:val="kk-KZ"/>
              </w:rPr>
              <w:t>34</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30 % авансовый платеж, а остальные 70 % по факту поставки товара в полном объеме в тенге </w:t>
            </w:r>
            <w:r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F033F0" w:rsidRPr="00F033F0" w:rsidRDefault="00F033F0" w:rsidP="00F033F0">
            <w:pPr>
              <w:tabs>
                <w:tab w:val="left" w:pos="708"/>
              </w:tabs>
              <w:suppressAutoHyphens/>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25 500 000</w:t>
            </w:r>
          </w:p>
        </w:tc>
      </w:tr>
      <w:tr w:rsidR="00F033F0"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F033F0" w:rsidRDefault="00F033F0" w:rsidP="00F033F0">
            <w:pPr>
              <w:tabs>
                <w:tab w:val="left" w:pos="708"/>
              </w:tabs>
              <w:suppressAutoHyphens/>
              <w:snapToGrid w:val="0"/>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F033F0" w:rsidRPr="002F11EB" w:rsidRDefault="00F033F0" w:rsidP="00F033F0">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Default="00F033F0" w:rsidP="00F033F0">
            <w:pPr>
              <w:spacing w:after="0" w:line="240" w:lineRule="auto"/>
              <w:rPr>
                <w:rFonts w:ascii="Times New Roman" w:hAnsi="Times New Roman"/>
                <w:color w:val="000000"/>
                <w:sz w:val="23"/>
                <w:szCs w:val="23"/>
              </w:rPr>
            </w:pPr>
            <w:r>
              <w:rPr>
                <w:rFonts w:ascii="Times New Roman" w:hAnsi="Times New Roman"/>
                <w:color w:val="000000"/>
                <w:sz w:val="23"/>
                <w:szCs w:val="23"/>
              </w:rPr>
              <w:t xml:space="preserve">Контроль «Квантифи Адванс» двухуровневый  </w:t>
            </w:r>
          </w:p>
          <w:p w:rsidR="00F033F0" w:rsidRPr="002F11EB" w:rsidRDefault="00F033F0" w:rsidP="00F033F0">
            <w:pPr>
              <w:pStyle w:val="a7"/>
              <w:rPr>
                <w:sz w:val="22"/>
                <w:szCs w:val="22"/>
              </w:rPr>
            </w:pP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jc w:val="center"/>
              <w:rPr>
                <w:rFonts w:ascii="Times New Roman" w:hAnsi="Times New Roman" w:cs="Times New Roman"/>
                <w:snapToGrid w:val="0"/>
              </w:rPr>
            </w:pPr>
            <w:r w:rsidRPr="002F11EB">
              <w:rPr>
                <w:rFonts w:ascii="Times New Roman" w:hAnsi="Times New Roman" w:cs="Times New Roman"/>
                <w:snapToGrid w:val="0"/>
              </w:rPr>
              <w:t>шт</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pStyle w:val="a7"/>
              <w:jc w:val="center"/>
              <w:rPr>
                <w:sz w:val="22"/>
                <w:szCs w:val="22"/>
                <w:lang w:val="kk-KZ"/>
              </w:rPr>
            </w:pPr>
            <w:r>
              <w:rPr>
                <w:sz w:val="22"/>
                <w:szCs w:val="22"/>
                <w:lang w:val="kk-KZ"/>
              </w:rPr>
              <w:t>1</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30 % авансовый платеж, а остальные 70 % по факту поставки товара в полном объеме в тенге </w:t>
            </w:r>
            <w:r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F033F0" w:rsidRPr="00F033F0" w:rsidRDefault="00F033F0" w:rsidP="00F033F0">
            <w:pPr>
              <w:tabs>
                <w:tab w:val="left" w:pos="708"/>
              </w:tabs>
              <w:suppressAutoHyphens/>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321 300</w:t>
            </w:r>
          </w:p>
        </w:tc>
      </w:tr>
      <w:tr w:rsidR="00F033F0" w:rsidRPr="00F6116F" w:rsidTr="002F11EB">
        <w:tblPrEx>
          <w:tblBorders>
            <w:top w:val="single" w:sz="8" w:space="0" w:color="000000"/>
            <w:left w:val="single" w:sz="8" w:space="0" w:color="000000"/>
          </w:tblBorders>
        </w:tblPrEx>
        <w:trPr>
          <w:cantSplit/>
          <w:trHeight w:val="1377"/>
        </w:trPr>
        <w:tc>
          <w:tcPr>
            <w:tcW w:w="14552" w:type="dxa"/>
            <w:gridSpan w:val="10"/>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jc w:val="right"/>
              <w:rPr>
                <w:rFonts w:ascii="Times New Roman" w:eastAsia="Times New Roman" w:hAnsi="Times New Roman" w:cs="Times New Roman"/>
                <w:lang w:eastAsia="zh-CN"/>
              </w:rPr>
            </w:pPr>
            <w:r w:rsidRPr="002F11EB">
              <w:rPr>
                <w:rFonts w:ascii="Times New Roman" w:eastAsia="Times New Roman" w:hAnsi="Times New Roman" w:cs="Times New Roman"/>
                <w:b/>
                <w:i/>
                <w:lang w:eastAsia="zh-CN"/>
              </w:rPr>
              <w:t>Итого:</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F033F0" w:rsidRPr="002F11EB" w:rsidRDefault="00F033F0" w:rsidP="00F033F0">
            <w:pPr>
              <w:tabs>
                <w:tab w:val="left" w:pos="708"/>
              </w:tabs>
              <w:suppressAutoHyphens/>
              <w:jc w:val="center"/>
              <w:rPr>
                <w:rFonts w:ascii="Times New Roman" w:eastAsia="Times New Roman" w:hAnsi="Times New Roman" w:cs="Times New Roman"/>
                <w:b/>
                <w:lang w:eastAsia="zh-CN"/>
              </w:rPr>
            </w:pPr>
            <w:r>
              <w:rPr>
                <w:rFonts w:ascii="Times New Roman" w:eastAsia="Times New Roman" w:hAnsi="Times New Roman" w:cs="Times New Roman"/>
                <w:b/>
                <w:lang w:val="kk-KZ" w:eastAsia="zh-CN"/>
              </w:rPr>
              <w:t>31 221 000</w:t>
            </w:r>
            <w:r w:rsidRPr="002F11EB">
              <w:rPr>
                <w:rFonts w:ascii="Times New Roman" w:eastAsia="Times New Roman" w:hAnsi="Times New Roman" w:cs="Times New Roman"/>
                <w:b/>
                <w:lang w:eastAsia="zh-CN"/>
              </w:rPr>
              <w:t xml:space="preserve"> </w:t>
            </w:r>
          </w:p>
        </w:tc>
        <w:tc>
          <w:tcPr>
            <w:tcW w:w="39" w:type="dxa"/>
          </w:tcPr>
          <w:p w:rsidR="00F033F0" w:rsidRPr="00F6116F" w:rsidRDefault="00F033F0" w:rsidP="00F033F0">
            <w:pPr>
              <w:rPr>
                <w:rFonts w:ascii="Calibri" w:eastAsia="Times New Roman" w:hAnsi="Calibri" w:cs="Times New Roman"/>
                <w:lang w:eastAsia="ru-RU"/>
              </w:rPr>
            </w:pPr>
          </w:p>
        </w:tc>
        <w:tc>
          <w:tcPr>
            <w:tcW w:w="1836" w:type="dxa"/>
            <w:gridSpan w:val="2"/>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913" w:type="dxa"/>
          </w:tcPr>
          <w:p w:rsidR="00F033F0" w:rsidRPr="00F6116F" w:rsidRDefault="00F033F0" w:rsidP="00F033F0">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2F11EB">
          <w:pgSz w:w="16838" w:h="11906" w:orient="landscape"/>
          <w:pgMar w:top="426" w:right="284" w:bottom="567"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A8619C" w:rsidRDefault="00A8619C" w:rsidP="007C142C">
      <w:pPr>
        <w:tabs>
          <w:tab w:val="left" w:pos="708"/>
        </w:tabs>
        <w:suppressAutoHyphens/>
        <w:jc w:val="center"/>
        <w:rPr>
          <w:rFonts w:ascii="Times New Roman" w:eastAsia="Times New Roman" w:hAnsi="Times New Roman" w:cs="Times New Roman"/>
          <w:b/>
          <w:sz w:val="20"/>
          <w:szCs w:val="20"/>
          <w:lang w:eastAsia="zh-CN"/>
        </w:rPr>
      </w:pPr>
    </w:p>
    <w:p w:rsidR="007C142C" w:rsidRPr="00A8619C" w:rsidRDefault="007C142C" w:rsidP="007C142C">
      <w:pPr>
        <w:tabs>
          <w:tab w:val="left" w:pos="708"/>
        </w:tabs>
        <w:suppressAutoHyphens/>
        <w:jc w:val="center"/>
        <w:rPr>
          <w:rFonts w:ascii="Times New Roman" w:eastAsia="Times New Roman" w:hAnsi="Times New Roman" w:cs="Times New Roman"/>
          <w:sz w:val="20"/>
          <w:szCs w:val="20"/>
          <w:lang w:eastAsia="zh-CN"/>
        </w:rPr>
      </w:pPr>
      <w:r w:rsidRPr="00A8619C">
        <w:rPr>
          <w:rFonts w:ascii="Times New Roman" w:eastAsia="Times New Roman" w:hAnsi="Times New Roman" w:cs="Times New Roman"/>
          <w:b/>
          <w:sz w:val="20"/>
          <w:szCs w:val="20"/>
          <w:lang w:eastAsia="zh-CN"/>
        </w:rPr>
        <w:t xml:space="preserve">Техническая спецификация и условия поставки приобретение </w:t>
      </w:r>
      <w:r w:rsidR="002F11EB" w:rsidRPr="00A8619C">
        <w:rPr>
          <w:rFonts w:ascii="Times New Roman" w:eastAsia="Times New Roman" w:hAnsi="Times New Roman" w:cs="Times New Roman"/>
          <w:b/>
          <w:sz w:val="20"/>
          <w:szCs w:val="20"/>
          <w:lang w:eastAsia="zh-CN"/>
        </w:rPr>
        <w:t>лекарственных средств</w:t>
      </w:r>
      <w:r w:rsidRPr="00A8619C">
        <w:rPr>
          <w:rFonts w:ascii="Times New Roman" w:eastAsia="Times New Roman" w:hAnsi="Times New Roman" w:cs="Times New Roman"/>
          <w:b/>
          <w:sz w:val="20"/>
          <w:szCs w:val="20"/>
          <w:lang w:eastAsia="zh-CN"/>
        </w:rPr>
        <w:t xml:space="preserve"> КГП на ПХВ «Центр матери и ребенка» УЗ ВК областного акимата.</w:t>
      </w:r>
    </w:p>
    <w:p w:rsidR="006E2A4F" w:rsidRPr="00A8619C" w:rsidRDefault="007C142C" w:rsidP="00305CFF">
      <w:pPr>
        <w:jc w:val="both"/>
        <w:rPr>
          <w:rFonts w:ascii="Times New Roman" w:eastAsia="Calibri" w:hAnsi="Times New Roman" w:cs="Times New Roman"/>
          <w:b/>
          <w:sz w:val="20"/>
          <w:szCs w:val="20"/>
        </w:rPr>
      </w:pPr>
      <w:r w:rsidRPr="00A8619C">
        <w:rPr>
          <w:rFonts w:ascii="Times New Roman" w:eastAsia="Times New Roman" w:hAnsi="Times New Roman" w:cs="Times New Roman"/>
          <w:b/>
          <w:sz w:val="20"/>
          <w:szCs w:val="20"/>
          <w:lang w:eastAsia="ru-RU"/>
        </w:rPr>
        <w:t xml:space="preserve">Техническая спецификация и </w:t>
      </w:r>
      <w:r w:rsidR="006225E6" w:rsidRPr="00A8619C">
        <w:rPr>
          <w:rFonts w:ascii="Times New Roman" w:eastAsia="Times New Roman" w:hAnsi="Times New Roman" w:cs="Times New Roman"/>
          <w:b/>
          <w:sz w:val="20"/>
          <w:szCs w:val="20"/>
          <w:lang w:eastAsia="ru-RU"/>
        </w:rPr>
        <w:t>условия поставки товара по лоту</w:t>
      </w:r>
      <w:r w:rsidR="002F11EB" w:rsidRPr="00A8619C">
        <w:rPr>
          <w:rFonts w:ascii="Times New Roman" w:eastAsia="Times New Roman" w:hAnsi="Times New Roman" w:cs="Times New Roman"/>
          <w:b/>
          <w:sz w:val="20"/>
          <w:szCs w:val="20"/>
          <w:lang w:eastAsia="ru-RU"/>
        </w:rPr>
        <w:t xml:space="preserve"> </w:t>
      </w:r>
      <w:r w:rsidR="006225E6" w:rsidRPr="00A8619C">
        <w:rPr>
          <w:rFonts w:ascii="Times New Roman" w:eastAsia="Times New Roman" w:hAnsi="Times New Roman" w:cs="Times New Roman"/>
          <w:b/>
          <w:sz w:val="20"/>
          <w:szCs w:val="20"/>
          <w:lang w:eastAsia="ru-RU"/>
        </w:rPr>
        <w:t xml:space="preserve">№ 1 </w:t>
      </w:r>
      <w:r w:rsidR="005007D1" w:rsidRPr="00A8619C">
        <w:rPr>
          <w:rFonts w:ascii="Times New Roman" w:eastAsia="Times New Roman" w:hAnsi="Times New Roman" w:cs="Times New Roman"/>
          <w:b/>
          <w:sz w:val="20"/>
          <w:szCs w:val="20"/>
          <w:lang w:eastAsia="ru-RU"/>
        </w:rPr>
        <w:t>Тест полоски для анализатора мочи Clinitek Status Plus</w:t>
      </w:r>
    </w:p>
    <w:p w:rsidR="007C142C" w:rsidRPr="00A8619C" w:rsidRDefault="003750CA" w:rsidP="007C142C">
      <w:pPr>
        <w:spacing w:after="0"/>
        <w:jc w:val="both"/>
        <w:rPr>
          <w:rFonts w:ascii="Times New Roman" w:eastAsia="Times New Roman" w:hAnsi="Times New Roman" w:cs="Times New Roman"/>
          <w:sz w:val="20"/>
          <w:szCs w:val="20"/>
          <w:lang w:eastAsia="ru-RU"/>
        </w:rPr>
      </w:pPr>
      <w:r w:rsidRPr="00A8619C">
        <w:rPr>
          <w:rFonts w:ascii="Times New Roman" w:eastAsia="Times New Roman" w:hAnsi="Times New Roman" w:cs="Times New Roman"/>
          <w:b/>
          <w:sz w:val="20"/>
          <w:szCs w:val="20"/>
          <w:lang w:eastAsia="ru-RU"/>
        </w:rPr>
        <w:t>При транспортировке и хранении соблюдение необходимых условий для обеспечения качества, безопасности и эффективности реактивов.</w:t>
      </w:r>
    </w:p>
    <w:p w:rsidR="007C142C" w:rsidRPr="00A8619C" w:rsidRDefault="00A8619C" w:rsidP="006225E6">
      <w:pPr>
        <w:tabs>
          <w:tab w:val="left" w:pos="708"/>
        </w:tabs>
        <w:suppressAutoHyphens/>
        <w:jc w:val="both"/>
        <w:rPr>
          <w:rFonts w:ascii="Times New Roman" w:eastAsia="Times New Roman" w:hAnsi="Times New Roman" w:cs="Times New Roman"/>
          <w:sz w:val="20"/>
          <w:szCs w:val="20"/>
          <w:lang w:eastAsia="zh-CN"/>
        </w:rPr>
      </w:pPr>
      <w:r w:rsidRPr="00A8619C">
        <w:rPr>
          <w:rFonts w:ascii="Times New Roman" w:eastAsia="Times New Roman" w:hAnsi="Times New Roman" w:cs="Times New Roman"/>
          <w:sz w:val="20"/>
          <w:szCs w:val="20"/>
          <w:lang w:eastAsia="zh-CN"/>
        </w:rPr>
        <w:t>Тест-полоски</w:t>
      </w:r>
      <w:r w:rsidR="007C142C" w:rsidRPr="00A8619C">
        <w:rPr>
          <w:rFonts w:ascii="Times New Roman" w:eastAsia="Times New Roman" w:hAnsi="Times New Roman" w:cs="Times New Roman"/>
          <w:sz w:val="20"/>
          <w:szCs w:val="20"/>
          <w:lang w:eastAsia="zh-CN"/>
        </w:rPr>
        <w:t xml:space="preserve"> должны быть зарегистрированы в  Республике Казахстан и </w:t>
      </w:r>
      <w:r w:rsidR="007C142C" w:rsidRPr="00A8619C">
        <w:rPr>
          <w:rFonts w:ascii="Times New Roman" w:eastAsia="Times New Roman" w:hAnsi="Times New Roman" w:cs="Times New Roman"/>
          <w:color w:val="000000"/>
          <w:sz w:val="20"/>
          <w:szCs w:val="20"/>
          <w:lang w:eastAsia="zh-CN"/>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rsidR="007C142C" w:rsidRPr="00A8619C">
        <w:rPr>
          <w:rFonts w:ascii="Times New Roman" w:eastAsia="Times New Roman" w:hAnsi="Times New Roman" w:cs="Times New Roman"/>
          <w:sz w:val="20"/>
          <w:szCs w:val="20"/>
          <w:lang w:eastAsia="zh-CN"/>
        </w:rPr>
        <w:t xml:space="preserve">. </w:t>
      </w:r>
      <w:r w:rsidR="007C142C" w:rsidRPr="00A8619C">
        <w:rPr>
          <w:rFonts w:ascii="Times New Roman" w:eastAsia="Times New Roman" w:hAnsi="Times New Roman" w:cs="Times New Roman"/>
          <w:color w:val="000000"/>
          <w:sz w:val="20"/>
          <w:szCs w:val="20"/>
          <w:lang w:eastAsia="zh-CN"/>
        </w:rPr>
        <w:t xml:space="preserve">Остаточный срок годности на момент поставки </w:t>
      </w:r>
      <w:r w:rsidRPr="00A8619C">
        <w:rPr>
          <w:rFonts w:ascii="Times New Roman" w:eastAsia="Times New Roman" w:hAnsi="Times New Roman" w:cs="Times New Roman"/>
          <w:sz w:val="20"/>
          <w:szCs w:val="20"/>
          <w:lang w:eastAsia="zh-CN"/>
        </w:rPr>
        <w:t>тест-полосок</w:t>
      </w:r>
      <w:r w:rsidR="004D54B6" w:rsidRPr="00A8619C">
        <w:rPr>
          <w:rFonts w:ascii="Times New Roman" w:eastAsia="Times New Roman" w:hAnsi="Times New Roman" w:cs="Times New Roman"/>
          <w:sz w:val="20"/>
          <w:szCs w:val="20"/>
          <w:lang w:eastAsia="zh-CN"/>
        </w:rPr>
        <w:t>: -</w:t>
      </w:r>
      <w:r w:rsidR="004D54B6" w:rsidRPr="00A8619C">
        <w:rPr>
          <w:sz w:val="20"/>
          <w:szCs w:val="20"/>
        </w:rPr>
        <w:t xml:space="preserve"> </w:t>
      </w:r>
      <w:r w:rsidR="004D54B6" w:rsidRPr="00A8619C">
        <w:rPr>
          <w:rFonts w:ascii="Times New Roman" w:hAnsi="Times New Roman" w:cs="Times New Roman"/>
          <w:sz w:val="20"/>
          <w:szCs w:val="20"/>
        </w:rPr>
        <w:t xml:space="preserve">не менее пятидесяти процентов от указанного срока годности на упаковке (при сроке годности менее двух лет); </w:t>
      </w:r>
      <w:r w:rsidR="004D54B6" w:rsidRPr="00A8619C">
        <w:rPr>
          <w:rFonts w:ascii="Times New Roman" w:eastAsia="Times New Roman" w:hAnsi="Times New Roman" w:cs="Times New Roman"/>
          <w:color w:val="000000"/>
          <w:sz w:val="20"/>
          <w:szCs w:val="20"/>
          <w:lang w:eastAsia="zh-CN"/>
        </w:rPr>
        <w:t xml:space="preserve"> -</w:t>
      </w:r>
      <w:r w:rsidR="009858FB" w:rsidRPr="00A8619C">
        <w:rPr>
          <w:rFonts w:ascii="Times New Roman" w:eastAsia="Times New Roman" w:hAnsi="Times New Roman" w:cs="Times New Roman"/>
          <w:color w:val="000000"/>
          <w:sz w:val="20"/>
          <w:szCs w:val="20"/>
          <w:lang w:eastAsia="zh-CN"/>
        </w:rPr>
        <w:t xml:space="preserve"> </w:t>
      </w:r>
      <w:r w:rsidR="004D54B6" w:rsidRPr="00A8619C">
        <w:rPr>
          <w:rFonts w:ascii="Times New Roman" w:hAnsi="Times New Roman" w:cs="Times New Roman"/>
          <w:sz w:val="20"/>
          <w:szCs w:val="20"/>
        </w:rPr>
        <w:t>не менее двенадцати месяцев от указанного срока годности на упаковке (при сроке годности два года и более)</w:t>
      </w:r>
    </w:p>
    <w:p w:rsidR="00F6116F" w:rsidRPr="001A050E" w:rsidRDefault="006225E6" w:rsidP="00F6116F">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Лот №1. </w:t>
      </w:r>
      <w:r w:rsidR="00A8619C" w:rsidRPr="005007D1">
        <w:rPr>
          <w:rFonts w:ascii="Times New Roman" w:eastAsia="Times New Roman" w:hAnsi="Times New Roman" w:cs="Times New Roman"/>
          <w:b/>
          <w:sz w:val="24"/>
          <w:szCs w:val="24"/>
          <w:lang w:eastAsia="ru-RU"/>
        </w:rPr>
        <w:t>Тест полоски для анализатора мочи Clinitek Status Plus</w:t>
      </w:r>
    </w:p>
    <w:p w:rsidR="006B1F87" w:rsidRPr="00A8619C" w:rsidRDefault="00FC7667" w:rsidP="00A8619C">
      <w:pPr>
        <w:pStyle w:val="a8"/>
        <w:rPr>
          <w:rFonts w:ascii="Times New Roman" w:hAnsi="Times New Roman"/>
          <w:sz w:val="20"/>
          <w:szCs w:val="20"/>
        </w:rPr>
      </w:pPr>
      <w:r>
        <w:tab/>
      </w:r>
      <w:r w:rsidR="00A8619C" w:rsidRPr="00A8619C">
        <w:rPr>
          <w:rFonts w:ascii="Times New Roman" w:hAnsi="Times New Roman"/>
          <w:sz w:val="20"/>
          <w:szCs w:val="20"/>
        </w:rPr>
        <w:t>Тест полоски для анализатора мочи Clinitek Status Plus</w:t>
      </w:r>
      <w:r w:rsidRPr="00A8619C">
        <w:rPr>
          <w:rFonts w:ascii="Times New Roman" w:hAnsi="Times New Roman"/>
          <w:sz w:val="20"/>
          <w:szCs w:val="20"/>
        </w:rPr>
        <w:t xml:space="preserve"> </w:t>
      </w:r>
      <w:r w:rsidR="00F6116F" w:rsidRPr="00A8619C">
        <w:rPr>
          <w:rFonts w:ascii="Times New Roman" w:hAnsi="Times New Roman"/>
          <w:sz w:val="20"/>
          <w:szCs w:val="20"/>
        </w:rPr>
        <w:t>должн</w:t>
      </w:r>
      <w:r w:rsidR="00A8619C" w:rsidRPr="00A8619C">
        <w:rPr>
          <w:rFonts w:ascii="Times New Roman" w:hAnsi="Times New Roman"/>
          <w:sz w:val="20"/>
          <w:szCs w:val="20"/>
        </w:rPr>
        <w:t>ы</w:t>
      </w:r>
      <w:r w:rsidR="00F6116F" w:rsidRPr="00A8619C">
        <w:rPr>
          <w:rFonts w:ascii="Times New Roman" w:hAnsi="Times New Roman"/>
          <w:sz w:val="20"/>
          <w:szCs w:val="20"/>
        </w:rPr>
        <w:t xml:space="preserve"> быть поставлен</w:t>
      </w:r>
      <w:r w:rsidR="00A8619C" w:rsidRPr="00A8619C">
        <w:rPr>
          <w:rFonts w:ascii="Times New Roman" w:hAnsi="Times New Roman"/>
          <w:sz w:val="20"/>
          <w:szCs w:val="20"/>
        </w:rPr>
        <w:t>ы</w:t>
      </w:r>
      <w:r w:rsidR="00F6116F" w:rsidRPr="00A8619C">
        <w:rPr>
          <w:rFonts w:ascii="Times New Roman" w:hAnsi="Times New Roman"/>
          <w:sz w:val="20"/>
          <w:szCs w:val="20"/>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sidRPr="00A8619C">
        <w:rPr>
          <w:rFonts w:ascii="Times New Roman" w:hAnsi="Times New Roman"/>
          <w:sz w:val="20"/>
          <w:szCs w:val="20"/>
        </w:rPr>
        <w:t xml:space="preserve"> </w:t>
      </w:r>
      <w:r w:rsidR="00F6116F" w:rsidRPr="00A8619C">
        <w:rPr>
          <w:rFonts w:ascii="Times New Roman" w:hAnsi="Times New Roman"/>
          <w:sz w:val="20"/>
          <w:szCs w:val="20"/>
        </w:rPr>
        <w:t>Поставка товара осуществляется</w:t>
      </w:r>
      <w:r w:rsidR="009858FB" w:rsidRPr="00A8619C">
        <w:rPr>
          <w:rFonts w:ascii="Times New Roman" w:hAnsi="Times New Roman"/>
          <w:sz w:val="20"/>
          <w:szCs w:val="20"/>
        </w:rPr>
        <w:t xml:space="preserve"> </w:t>
      </w:r>
      <w:r w:rsidR="00CD5FFB" w:rsidRPr="00A8619C">
        <w:rPr>
          <w:rFonts w:ascii="Times New Roman" w:hAnsi="Times New Roman"/>
          <w:sz w:val="20"/>
          <w:szCs w:val="20"/>
        </w:rPr>
        <w:t>согласно графика (приложение № 11</w:t>
      </w:r>
      <w:r w:rsidR="00F6116F" w:rsidRPr="00A8619C">
        <w:rPr>
          <w:rFonts w:ascii="Times New Roman" w:hAnsi="Times New Roman"/>
          <w:sz w:val="20"/>
          <w:szCs w:val="20"/>
        </w:rPr>
        <w:t xml:space="preserve"> к тендерной документации).</w:t>
      </w:r>
    </w:p>
    <w:p w:rsidR="006C6665" w:rsidRPr="00A8619C" w:rsidRDefault="006C6665" w:rsidP="00A8619C">
      <w:pPr>
        <w:pStyle w:val="a8"/>
        <w:rPr>
          <w:rFonts w:ascii="Times New Roman" w:eastAsia="Calibri" w:hAnsi="Times New Roman"/>
          <w:sz w:val="20"/>
          <w:szCs w:val="20"/>
        </w:rPr>
      </w:pPr>
      <w:r w:rsidRPr="00A8619C">
        <w:rPr>
          <w:rFonts w:ascii="Times New Roman" w:eastAsia="Calibri" w:hAnsi="Times New Roman"/>
          <w:sz w:val="20"/>
          <w:szCs w:val="20"/>
        </w:rPr>
        <w:t>Характеристика :</w:t>
      </w:r>
    </w:p>
    <w:p w:rsidR="00A8619C" w:rsidRPr="00A8619C" w:rsidRDefault="00A8619C" w:rsidP="00A8619C">
      <w:pPr>
        <w:pStyle w:val="a8"/>
        <w:rPr>
          <w:rFonts w:ascii="Times New Roman" w:hAnsi="Times New Roman"/>
          <w:sz w:val="20"/>
          <w:szCs w:val="20"/>
        </w:rPr>
      </w:pPr>
      <w:r w:rsidRPr="00A8619C">
        <w:rPr>
          <w:rFonts w:ascii="Times New Roman" w:hAnsi="Times New Roman"/>
          <w:sz w:val="20"/>
          <w:szCs w:val="20"/>
        </w:rPr>
        <w:t>Предназначены для полуколичественной диагностики in vitro. Химический состав тест-полосок:</w:t>
      </w:r>
    </w:p>
    <w:p w:rsidR="00A8619C" w:rsidRPr="00A8619C" w:rsidRDefault="00A8619C" w:rsidP="00A8619C">
      <w:pPr>
        <w:pStyle w:val="a8"/>
        <w:rPr>
          <w:rFonts w:ascii="Times New Roman" w:hAnsi="Times New Roman"/>
          <w:sz w:val="20"/>
          <w:szCs w:val="20"/>
        </w:rPr>
      </w:pPr>
      <w:r w:rsidRPr="00A8619C">
        <w:rPr>
          <w:rFonts w:ascii="Times New Roman" w:hAnsi="Times New Roman"/>
          <w:sz w:val="20"/>
          <w:szCs w:val="20"/>
        </w:rPr>
        <w:t>Белок. Ингредиенты: 0,3% (по массе) тетрабромфенолового синего, 97,3 % (по массе) буфера, 2,4 % (по массе) нереагирующих ингредиентов.</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Кровь. З,З’,5,5’-тетраметилбензидина. Ингредиенты: 6,8 % (по массе) диизопропилбензола дигидропероксида, 4,0% (по массе) З,З’,5,5’-тетраметилбензидина, 48,0% (по массе) буфера, 41,2 % (по массе) нереагирующих ингредиентов.</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Лейкоциты. Ингредиенты: 0,4 % (по массе) производного сложного эфира пиррола и аминокислот, 0,2 % (по массе) диазосоли, 40,9 % (по массе) буфера, 58,5 % (по массе) нереагирующих ингредиентов.</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Нитриты. Ингредиенты: 1,4% (по массе) р-арсаниловой кислоты, 1,3% (по массе) 1,2,3,4- тетрагидробензо(h)хинолин-триол, 10,8 % (по массе) буфера, 86,5 % (по массе) нереагирующих ингредиентов.</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 xml:space="preserve">Глюкоза. Ингредиенты: 2,2% (по массе) окидазы глюкозы (микробной, 13ME), 1,0% (по массе) пероксидазы (пероксидаза хрена3300 ME), 8,1 % (по массе) иодида калия, 69,8 % (по массе) буфера. 18,9 % (по массе) нереагирующих ингредиентов. </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Кетоны. Ингредиенты: 7,1 % (по массе) нитропруссида натрия. 92,9 % (по массе) буфера.</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Кислотность (pH). Ингредиенты: 0,2% (по массе) метилового красного, 2,8% (по массе) бромтимолового синего, 97,0 % (по массе) нереагирующих ингредиентов.</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Удельный вес. Ингредиенты: 2,8% (по массе) бромтимолового синего, 68,8 % (по массе) сополимер метилвинилового эфира и малеинового ангидрида. 28,4 % (по массе) гидроксида натрия.</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Билирубин. Ингредиенты: 0,4 % (по массе) диазосоли 2,4-дихлоранилина, 37,3 % (по массе) буфера, 62,3%.</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 xml:space="preserve">Время измерения: 60 сек. </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Фасовка и количество тестов:</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- 100 тест-полосок (100 измерений).</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Идентификационные полосы обеспечивают:</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  автоматическое распознавание тест-полоски и использование соответствующих настроек при выполнении анализа;</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  автоматическую проверку качества (Auto-Check);</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 предотвращение накопления жидкостей;</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 определение того, была ли полоска повреждена от воздействия влаги.</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Аналитическая чувствительность:</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Белок: 0,15-0,3 г/л (15-30 мг/дл) альбумина.</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Кровь: 150-620 мкг/л (0,015-0,062 мг/дл) гемоглобина.</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Лейкоциты: 5-15 клеток в поле зрения (крупное увеличение) в клиническом образце.</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Нитриты: 13-22 мкмоль/л (0,06-0,1 мг/дл) нитрит-иона.</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Глюкоза: 4-7 ммоль/л (75-125 мг/дл) глюкозы.</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Кетоны: 0,5-1,0 ммоль/л (5-10 мг/дл) ацетоуксусной кислоты.</w:t>
      </w:r>
    </w:p>
    <w:p w:rsidR="00A8619C" w:rsidRPr="00A8619C" w:rsidRDefault="00A8619C" w:rsidP="00A8619C">
      <w:pPr>
        <w:pStyle w:val="a8"/>
        <w:jc w:val="both"/>
        <w:rPr>
          <w:rFonts w:ascii="Times New Roman" w:hAnsi="Times New Roman"/>
          <w:sz w:val="20"/>
          <w:szCs w:val="20"/>
        </w:rPr>
      </w:pPr>
      <w:r w:rsidRPr="00A8619C">
        <w:rPr>
          <w:rFonts w:ascii="Times New Roman" w:hAnsi="Times New Roman"/>
          <w:sz w:val="20"/>
          <w:szCs w:val="20"/>
        </w:rPr>
        <w:t>Билирубин: 7-14 мкмоль/л (0,4-0,8 мг/дл) билирубина.</w:t>
      </w:r>
    </w:p>
    <w:p w:rsidR="00A8619C" w:rsidRDefault="00A8619C" w:rsidP="00A8619C">
      <w:pPr>
        <w:pStyle w:val="a8"/>
        <w:jc w:val="both"/>
        <w:rPr>
          <w:rFonts w:ascii="Times New Roman" w:hAnsi="Times New Roman"/>
          <w:sz w:val="20"/>
          <w:szCs w:val="20"/>
          <w:lang w:val="en-US"/>
        </w:rPr>
      </w:pPr>
      <w:r w:rsidRPr="00A8619C">
        <w:rPr>
          <w:rFonts w:ascii="Times New Roman" w:hAnsi="Times New Roman"/>
          <w:sz w:val="20"/>
          <w:szCs w:val="20"/>
        </w:rPr>
        <w:t>Соответствует</w:t>
      </w:r>
      <w:r w:rsidRPr="00A8619C">
        <w:rPr>
          <w:rFonts w:ascii="Times New Roman" w:hAnsi="Times New Roman"/>
          <w:sz w:val="20"/>
          <w:szCs w:val="20"/>
          <w:lang w:val="en-US"/>
        </w:rPr>
        <w:t xml:space="preserve"> In Vitro Diagnostic Directive (IVDD). </w:t>
      </w:r>
    </w:p>
    <w:p w:rsidR="00F033F0" w:rsidRDefault="00F033F0" w:rsidP="00A8619C">
      <w:pPr>
        <w:pStyle w:val="a8"/>
        <w:jc w:val="both"/>
        <w:rPr>
          <w:rFonts w:ascii="Times New Roman" w:hAnsi="Times New Roman"/>
          <w:sz w:val="20"/>
          <w:szCs w:val="20"/>
          <w:lang w:val="en-US"/>
        </w:rPr>
      </w:pPr>
    </w:p>
    <w:p w:rsidR="00F033F0" w:rsidRDefault="00F033F0" w:rsidP="00A8619C">
      <w:pPr>
        <w:pStyle w:val="a8"/>
        <w:jc w:val="both"/>
        <w:rPr>
          <w:rFonts w:ascii="Times New Roman" w:hAnsi="Times New Roman"/>
          <w:sz w:val="20"/>
          <w:szCs w:val="20"/>
          <w:lang w:val="en-US"/>
        </w:rPr>
      </w:pPr>
    </w:p>
    <w:p w:rsidR="00F033F0" w:rsidRPr="001A050E" w:rsidRDefault="00F033F0" w:rsidP="00F033F0">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Лот №</w:t>
      </w:r>
      <w:r>
        <w:rPr>
          <w:rFonts w:ascii="Times New Roman" w:eastAsia="Times New Roman" w:hAnsi="Times New Roman" w:cs="Times New Roman"/>
          <w:b/>
          <w:sz w:val="24"/>
          <w:szCs w:val="24"/>
          <w:lang w:val="kk-KZ" w:eastAsia="zh-CN"/>
        </w:rPr>
        <w:t>2</w:t>
      </w:r>
      <w:r>
        <w:rPr>
          <w:rFonts w:ascii="Times New Roman" w:eastAsia="Times New Roman" w:hAnsi="Times New Roman" w:cs="Times New Roman"/>
          <w:b/>
          <w:sz w:val="24"/>
          <w:szCs w:val="24"/>
          <w:lang w:eastAsia="zh-CN"/>
        </w:rPr>
        <w:t xml:space="preserve">. </w:t>
      </w:r>
      <w:r w:rsidR="00D94568" w:rsidRPr="00D94568">
        <w:rPr>
          <w:rFonts w:ascii="Times New Roman" w:eastAsia="Times New Roman" w:hAnsi="Times New Roman" w:cs="Times New Roman"/>
          <w:b/>
          <w:sz w:val="24"/>
          <w:szCs w:val="24"/>
          <w:lang w:eastAsia="ru-RU"/>
        </w:rPr>
        <w:t>Картриджи Atellica UAS 800</w:t>
      </w:r>
    </w:p>
    <w:p w:rsidR="00F033F0" w:rsidRDefault="00F033F0" w:rsidP="00D94568">
      <w:pPr>
        <w:pStyle w:val="a8"/>
        <w:rPr>
          <w:rFonts w:ascii="Times New Roman" w:hAnsi="Times New Roman"/>
          <w:sz w:val="20"/>
          <w:szCs w:val="20"/>
        </w:rPr>
      </w:pPr>
      <w:r>
        <w:tab/>
      </w:r>
      <w:r w:rsidR="00D94568" w:rsidRPr="00D94568">
        <w:rPr>
          <w:rFonts w:ascii="Times New Roman" w:hAnsi="Times New Roman"/>
          <w:sz w:val="20"/>
          <w:szCs w:val="20"/>
        </w:rPr>
        <w:t>Предназначены для определения в осадке мочи человека следующих частиц: бактерии, палочковидных бактерии, кокковых бактерии, кристаллов, гиалиновых цилиндров, патологических цилиндров, слизи, многослойного плоского неорогвевшего эпителия, спермы, многослойного плоского ороговевшего эпителий, эритроцитов, лейкоцитов, скопления лейкоцитов и дрожжевых грибков. Предназначен для профессионального диагностического применения in vitro в клинических лабораториях квалифицированными сотрудниками. Материал: Полипропилен. Параметры кюветы, мм:19 (высота) х 2 (ширина) х 19 (длина). Фасовка: Кюветы поставляются в картридже, в котором содержится 50 кювет; 12 картриджей с кюветами (всего 600 кювет). В каждой упаковке имеется регистрационная карточка кювет с индивидуальным кодом. Каждая кювета рассчитана на однократное использование. Условия хранения: от 0оС до +45оС, вдали от солнечных лучей света. Срок годности: 2 года. Соответствует Директиве 98/79/ЕС по медицинским средствам диагностики in vitro.</w:t>
      </w:r>
      <w:r w:rsidRPr="00D94568">
        <w:rPr>
          <w:rFonts w:ascii="Times New Roman" w:hAnsi="Times New Roman"/>
          <w:sz w:val="20"/>
          <w:szCs w:val="20"/>
        </w:rPr>
        <w:t xml:space="preserve">). </w:t>
      </w:r>
    </w:p>
    <w:p w:rsidR="00D94568" w:rsidRPr="00D94568" w:rsidRDefault="00D94568" w:rsidP="00D94568">
      <w:pPr>
        <w:pStyle w:val="a8"/>
        <w:ind w:firstLine="708"/>
        <w:rPr>
          <w:rFonts w:ascii="Times New Roman" w:hAnsi="Times New Roman"/>
          <w:sz w:val="20"/>
          <w:szCs w:val="20"/>
        </w:rPr>
      </w:pPr>
      <w:r w:rsidRPr="00D94568">
        <w:rPr>
          <w:rFonts w:ascii="Times New Roman" w:hAnsi="Times New Roman"/>
          <w:sz w:val="20"/>
          <w:szCs w:val="20"/>
        </w:rPr>
        <w:t>Материал: Полипропилен. Параметры кюветы, мм:19 (высота) х 2 (ширина) х 19 (длина). Фасовка: Кюветы поставляются в картридже, в котором содержится 50 кювет; 12 картриджей с кюветами (всего 600 кювет). В каждой упаковке имеется регистрационная карточка кювет с индивидуальным кодом. Каждая кювета рассчитана на однократное использование. Срок годности: 2 года. Соответствует Директиве 98/79/ЕС по медицинским средствам диагностики in vitro</w:t>
      </w:r>
    </w:p>
    <w:p w:rsidR="00F033F0" w:rsidRPr="00D94568" w:rsidRDefault="00F033F0" w:rsidP="00A8619C">
      <w:pPr>
        <w:pStyle w:val="a8"/>
        <w:jc w:val="both"/>
        <w:rPr>
          <w:rFonts w:ascii="Times New Roman" w:hAnsi="Times New Roman"/>
          <w:sz w:val="20"/>
          <w:szCs w:val="20"/>
        </w:rPr>
      </w:pPr>
    </w:p>
    <w:p w:rsidR="00D94568" w:rsidRPr="001A050E" w:rsidRDefault="00D94568" w:rsidP="00D94568">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Лот №</w:t>
      </w:r>
      <w:r>
        <w:rPr>
          <w:rFonts w:ascii="Times New Roman" w:eastAsia="Times New Roman" w:hAnsi="Times New Roman" w:cs="Times New Roman"/>
          <w:b/>
          <w:sz w:val="24"/>
          <w:szCs w:val="24"/>
          <w:lang w:val="kk-KZ" w:eastAsia="zh-CN"/>
        </w:rPr>
        <w:t>3</w:t>
      </w:r>
      <w:r>
        <w:rPr>
          <w:rFonts w:ascii="Times New Roman" w:eastAsia="Times New Roman" w:hAnsi="Times New Roman" w:cs="Times New Roman"/>
          <w:b/>
          <w:sz w:val="24"/>
          <w:szCs w:val="24"/>
          <w:lang w:eastAsia="zh-CN"/>
        </w:rPr>
        <w:t xml:space="preserve">. </w:t>
      </w:r>
      <w:r w:rsidRPr="00D94568">
        <w:rPr>
          <w:rFonts w:ascii="Times New Roman" w:eastAsia="Times New Roman" w:hAnsi="Times New Roman" w:cs="Times New Roman"/>
          <w:b/>
          <w:sz w:val="24"/>
          <w:szCs w:val="24"/>
          <w:lang w:eastAsia="ru-RU"/>
        </w:rPr>
        <w:t xml:space="preserve">Контроль «Квантифи Адванс» двухуровневый  </w:t>
      </w:r>
    </w:p>
    <w:p w:rsidR="00D94568" w:rsidRDefault="00D94568" w:rsidP="00D94568">
      <w:pPr>
        <w:pStyle w:val="a8"/>
        <w:rPr>
          <w:rFonts w:ascii="Times New Roman" w:hAnsi="Times New Roman"/>
          <w:sz w:val="20"/>
          <w:szCs w:val="20"/>
        </w:rPr>
      </w:pPr>
      <w:r>
        <w:tab/>
      </w:r>
      <w:r w:rsidRPr="00D94568">
        <w:rPr>
          <w:rFonts w:ascii="Times New Roman" w:hAnsi="Times New Roman"/>
          <w:sz w:val="20"/>
          <w:szCs w:val="20"/>
        </w:rPr>
        <w:t xml:space="preserve">Контрольные растворы для анализатора Atellica UAS 800. 3 флакона для каждого уровня. </w:t>
      </w: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p>
    <w:p w:rsidR="00D94568" w:rsidRDefault="00D94568" w:rsidP="00D94568">
      <w:pPr>
        <w:pStyle w:val="a8"/>
        <w:rPr>
          <w:rFonts w:ascii="Times New Roman" w:hAnsi="Times New Roman"/>
          <w:sz w:val="20"/>
          <w:szCs w:val="20"/>
        </w:rPr>
      </w:pPr>
      <w:bookmarkStart w:id="6" w:name="_GoBack"/>
      <w:bookmarkEnd w:id="6"/>
    </w:p>
    <w:p w:rsidR="00D94568" w:rsidRPr="00D94568" w:rsidRDefault="00D94568" w:rsidP="00D94568">
      <w:pPr>
        <w:pStyle w:val="a8"/>
        <w:rPr>
          <w:rFonts w:ascii="Times New Roman" w:hAnsi="Times New Roman"/>
          <w:sz w:val="20"/>
          <w:szCs w:val="20"/>
        </w:rPr>
      </w:pPr>
    </w:p>
    <w:p w:rsidR="00FC7667" w:rsidRPr="00D94568" w:rsidRDefault="00FC7667" w:rsidP="002F3769">
      <w:pPr>
        <w:spacing w:after="0" w:line="240" w:lineRule="auto"/>
        <w:rPr>
          <w:rFonts w:ascii="Calibri" w:eastAsia="Times New Roman" w:hAnsi="Calibri" w:cs="Times New Roman"/>
          <w:lang w:eastAsia="ru-RU"/>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8" w:name="z473"/>
      <w:bookmarkEnd w:id="8"/>
      <w:r>
        <w:rPr>
          <w:rFonts w:ascii="Times New Roman" w:eastAsia="Times New Roman" w:hAnsi="Times New Roman" w:cs="Times New Roman"/>
          <w:b/>
          <w:sz w:val="24"/>
          <w:szCs w:val="24"/>
          <w:lang w:eastAsia="zh-CN"/>
        </w:rPr>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7"/>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t>Приложение 3 к договору №______</w:t>
      </w:r>
    </w:p>
    <w:p w:rsidR="004E2A58" w:rsidRDefault="004E2A58" w:rsidP="004E2A58">
      <w:pPr>
        <w:pStyle w:val="a7"/>
        <w:tabs>
          <w:tab w:val="left" w:pos="2980"/>
        </w:tabs>
        <w:jc w:val="right"/>
      </w:pPr>
      <w:r>
        <w:t>от ____________________ 20</w:t>
      </w:r>
      <w:r w:rsidR="003C4D81">
        <w:t>0</w:t>
      </w:r>
      <w:r>
        <w:t>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FC7667">
          <w:pgSz w:w="11906" w:h="16838"/>
          <w:pgMar w:top="1134"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681"/>
        <w:gridCol w:w="4814"/>
        <w:gridCol w:w="2977"/>
        <w:gridCol w:w="992"/>
        <w:gridCol w:w="1559"/>
        <w:gridCol w:w="1701"/>
        <w:gridCol w:w="1276"/>
        <w:gridCol w:w="1134"/>
      </w:tblGrid>
      <w:tr w:rsidR="003C4D81" w:rsidRPr="00DB3BDA" w:rsidTr="005007D1">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4D81" w:rsidRDefault="003C4D81" w:rsidP="003C4D81">
            <w:pPr>
              <w:pStyle w:val="a7"/>
            </w:pPr>
            <w:r>
              <w:t>1.</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5D7171" w:rsidRDefault="00A8619C" w:rsidP="003C4D81">
            <w:pPr>
              <w:pStyle w:val="a8"/>
              <w:rPr>
                <w:rFonts w:ascii="Times New Roman" w:hAnsi="Times New Roman"/>
                <w:lang w:val="kk-KZ"/>
              </w:rPr>
            </w:pPr>
            <w:r w:rsidRPr="00410373">
              <w:rPr>
                <w:rFonts w:ascii="Times New Roman" w:hAnsi="Times New Roman"/>
                <w:lang w:val="kk-KZ"/>
              </w:rPr>
              <w:t xml:space="preserve">Тест полоски </w:t>
            </w:r>
            <w:r w:rsidRPr="0093329D">
              <w:rPr>
                <w:rFonts w:ascii="Times New Roman" w:hAnsi="Times New Roman"/>
                <w:lang w:val="kk-KZ"/>
              </w:rPr>
              <w:t>для анализатора мочи Clinitek Status Plus</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F71AB5" w:rsidRDefault="003C4D81" w:rsidP="003C4D81">
            <w:pPr>
              <w:rPr>
                <w:rFonts w:ascii="Times New Roman" w:hAnsi="Times New Roman" w:cs="Times New Roman"/>
                <w:color w:val="00000A"/>
              </w:rPr>
            </w:pPr>
            <w:r w:rsidRPr="00F71AB5">
              <w:rPr>
                <w:rFonts w:ascii="Times New Roman" w:hAnsi="Times New Roman" w:cs="Times New Roman"/>
                <w:color w:val="00000A"/>
              </w:rPr>
              <w:t xml:space="preserve"> После подписания договора по устной заявке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D81" w:rsidRPr="00DB3BDA" w:rsidRDefault="003C4D81" w:rsidP="003C4D81">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sectPr w:rsidR="0036626E"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EE" w:rsidRDefault="00323EEE" w:rsidP="008B36F3">
      <w:pPr>
        <w:spacing w:after="0" w:line="240" w:lineRule="auto"/>
      </w:pPr>
      <w:r>
        <w:separator/>
      </w:r>
    </w:p>
  </w:endnote>
  <w:endnote w:type="continuationSeparator" w:id="0">
    <w:p w:rsidR="00323EEE" w:rsidRDefault="00323EEE"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EE" w:rsidRDefault="00323EEE" w:rsidP="008B36F3">
      <w:pPr>
        <w:spacing w:after="0" w:line="240" w:lineRule="auto"/>
      </w:pPr>
      <w:r>
        <w:separator/>
      </w:r>
    </w:p>
  </w:footnote>
  <w:footnote w:type="continuationSeparator" w:id="0">
    <w:p w:rsidR="00323EEE" w:rsidRDefault="00323EEE"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42305"/>
    <w:rsid w:val="00065786"/>
    <w:rsid w:val="000A6A47"/>
    <w:rsid w:val="000B359F"/>
    <w:rsid w:val="000D4AD6"/>
    <w:rsid w:val="000E4C44"/>
    <w:rsid w:val="0010270F"/>
    <w:rsid w:val="00107CE3"/>
    <w:rsid w:val="00115BE0"/>
    <w:rsid w:val="00121255"/>
    <w:rsid w:val="00124691"/>
    <w:rsid w:val="001609E3"/>
    <w:rsid w:val="00165205"/>
    <w:rsid w:val="001A050E"/>
    <w:rsid w:val="001A530E"/>
    <w:rsid w:val="001B65B4"/>
    <w:rsid w:val="001C6ED4"/>
    <w:rsid w:val="001F048B"/>
    <w:rsid w:val="001F0868"/>
    <w:rsid w:val="001F2937"/>
    <w:rsid w:val="001F3E8B"/>
    <w:rsid w:val="00207A76"/>
    <w:rsid w:val="00212D16"/>
    <w:rsid w:val="00223BA2"/>
    <w:rsid w:val="00224B2F"/>
    <w:rsid w:val="0023170F"/>
    <w:rsid w:val="00232D4C"/>
    <w:rsid w:val="00233A88"/>
    <w:rsid w:val="0026155E"/>
    <w:rsid w:val="00261CFD"/>
    <w:rsid w:val="0027050A"/>
    <w:rsid w:val="0028461B"/>
    <w:rsid w:val="002863C7"/>
    <w:rsid w:val="002A628F"/>
    <w:rsid w:val="002C4E9B"/>
    <w:rsid w:val="002D019E"/>
    <w:rsid w:val="002E0778"/>
    <w:rsid w:val="002E0A60"/>
    <w:rsid w:val="002F11EB"/>
    <w:rsid w:val="002F3769"/>
    <w:rsid w:val="00301F27"/>
    <w:rsid w:val="003050E4"/>
    <w:rsid w:val="00305CFF"/>
    <w:rsid w:val="00315C71"/>
    <w:rsid w:val="0032383D"/>
    <w:rsid w:val="00323EEE"/>
    <w:rsid w:val="003314E7"/>
    <w:rsid w:val="00334397"/>
    <w:rsid w:val="0035398A"/>
    <w:rsid w:val="0036626E"/>
    <w:rsid w:val="003750CA"/>
    <w:rsid w:val="00375899"/>
    <w:rsid w:val="00383E9D"/>
    <w:rsid w:val="00387BB0"/>
    <w:rsid w:val="003A5507"/>
    <w:rsid w:val="003C4D81"/>
    <w:rsid w:val="003D1B89"/>
    <w:rsid w:val="00411BD2"/>
    <w:rsid w:val="0044580C"/>
    <w:rsid w:val="00456958"/>
    <w:rsid w:val="004570AD"/>
    <w:rsid w:val="00475AC6"/>
    <w:rsid w:val="004811AF"/>
    <w:rsid w:val="004C6CA7"/>
    <w:rsid w:val="004D1020"/>
    <w:rsid w:val="004D54B6"/>
    <w:rsid w:val="004D7C9A"/>
    <w:rsid w:val="004E2912"/>
    <w:rsid w:val="004E2A58"/>
    <w:rsid w:val="004E2DBE"/>
    <w:rsid w:val="004E7DDA"/>
    <w:rsid w:val="0050056C"/>
    <w:rsid w:val="005007D1"/>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62D5"/>
    <w:rsid w:val="00712286"/>
    <w:rsid w:val="00715AB4"/>
    <w:rsid w:val="00723814"/>
    <w:rsid w:val="007262E2"/>
    <w:rsid w:val="00732C57"/>
    <w:rsid w:val="007469CB"/>
    <w:rsid w:val="0075106B"/>
    <w:rsid w:val="00755851"/>
    <w:rsid w:val="00762F3A"/>
    <w:rsid w:val="007701FC"/>
    <w:rsid w:val="00774852"/>
    <w:rsid w:val="00777F46"/>
    <w:rsid w:val="007A2F0D"/>
    <w:rsid w:val="007B0048"/>
    <w:rsid w:val="007C142C"/>
    <w:rsid w:val="007C258B"/>
    <w:rsid w:val="007D1BD6"/>
    <w:rsid w:val="007D58DD"/>
    <w:rsid w:val="008028EA"/>
    <w:rsid w:val="00851DF1"/>
    <w:rsid w:val="00860FEF"/>
    <w:rsid w:val="0086268A"/>
    <w:rsid w:val="00870C23"/>
    <w:rsid w:val="00883D1B"/>
    <w:rsid w:val="00891213"/>
    <w:rsid w:val="00891E7D"/>
    <w:rsid w:val="008B36F3"/>
    <w:rsid w:val="008E1B50"/>
    <w:rsid w:val="008F5D49"/>
    <w:rsid w:val="009013F3"/>
    <w:rsid w:val="009611C0"/>
    <w:rsid w:val="00977D2B"/>
    <w:rsid w:val="0098452C"/>
    <w:rsid w:val="009858FB"/>
    <w:rsid w:val="009944F3"/>
    <w:rsid w:val="009A4DAA"/>
    <w:rsid w:val="009A6A2F"/>
    <w:rsid w:val="009C2E69"/>
    <w:rsid w:val="009D732E"/>
    <w:rsid w:val="009E6FF2"/>
    <w:rsid w:val="00A0009D"/>
    <w:rsid w:val="00A04FE3"/>
    <w:rsid w:val="00A050EE"/>
    <w:rsid w:val="00A0770B"/>
    <w:rsid w:val="00A24A7B"/>
    <w:rsid w:val="00A33C7C"/>
    <w:rsid w:val="00A33FB1"/>
    <w:rsid w:val="00A552D8"/>
    <w:rsid w:val="00A57042"/>
    <w:rsid w:val="00A6450D"/>
    <w:rsid w:val="00A677A1"/>
    <w:rsid w:val="00A8619C"/>
    <w:rsid w:val="00A87328"/>
    <w:rsid w:val="00A9635F"/>
    <w:rsid w:val="00AA0A6D"/>
    <w:rsid w:val="00AA5BDD"/>
    <w:rsid w:val="00AC78C2"/>
    <w:rsid w:val="00B01219"/>
    <w:rsid w:val="00B0607D"/>
    <w:rsid w:val="00B44024"/>
    <w:rsid w:val="00B77AC9"/>
    <w:rsid w:val="00B85BDA"/>
    <w:rsid w:val="00BA3DFD"/>
    <w:rsid w:val="00BA51EC"/>
    <w:rsid w:val="00BC0D1C"/>
    <w:rsid w:val="00BC0D75"/>
    <w:rsid w:val="00BD06E0"/>
    <w:rsid w:val="00BD2C0A"/>
    <w:rsid w:val="00C01548"/>
    <w:rsid w:val="00C03130"/>
    <w:rsid w:val="00C62821"/>
    <w:rsid w:val="00CB39DB"/>
    <w:rsid w:val="00CD5FFB"/>
    <w:rsid w:val="00D00CDF"/>
    <w:rsid w:val="00D102AA"/>
    <w:rsid w:val="00D21D1B"/>
    <w:rsid w:val="00D23C1E"/>
    <w:rsid w:val="00D708FE"/>
    <w:rsid w:val="00D84BFA"/>
    <w:rsid w:val="00D87617"/>
    <w:rsid w:val="00D94568"/>
    <w:rsid w:val="00D96F72"/>
    <w:rsid w:val="00DA094A"/>
    <w:rsid w:val="00DC00C2"/>
    <w:rsid w:val="00DD4100"/>
    <w:rsid w:val="00DE097C"/>
    <w:rsid w:val="00DE0B5A"/>
    <w:rsid w:val="00E1289A"/>
    <w:rsid w:val="00E1618D"/>
    <w:rsid w:val="00E20BB1"/>
    <w:rsid w:val="00E43CA7"/>
    <w:rsid w:val="00E80E1B"/>
    <w:rsid w:val="00E81B3D"/>
    <w:rsid w:val="00E86F86"/>
    <w:rsid w:val="00EA592B"/>
    <w:rsid w:val="00F033F0"/>
    <w:rsid w:val="00F06D05"/>
    <w:rsid w:val="00F27D6A"/>
    <w:rsid w:val="00F6116F"/>
    <w:rsid w:val="00F66381"/>
    <w:rsid w:val="00F938A9"/>
    <w:rsid w:val="00F96C5C"/>
    <w:rsid w:val="00FA011B"/>
    <w:rsid w:val="00FC7667"/>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C9AD"/>
  <w15:docId w15:val="{F79732C5-4C53-4501-B755-A8A2272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E34C-17DD-4149-9099-C1E063D5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38</Pages>
  <Words>11820</Words>
  <Characters>67378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пк</cp:lastModifiedBy>
  <cp:revision>8</cp:revision>
  <cp:lastPrinted>2019-12-31T03:27:00Z</cp:lastPrinted>
  <dcterms:created xsi:type="dcterms:W3CDTF">2019-12-30T08:30:00Z</dcterms:created>
  <dcterms:modified xsi:type="dcterms:W3CDTF">2020-04-21T16:40:00Z</dcterms:modified>
</cp:coreProperties>
</file>